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367" w:rsidRPr="008118AF" w:rsidRDefault="00347192" w:rsidP="008118AF">
      <w:pPr>
        <w:jc w:val="center"/>
        <w:rPr>
          <w:b/>
          <w:sz w:val="26"/>
          <w:szCs w:val="26"/>
        </w:rPr>
      </w:pPr>
      <w:r w:rsidRPr="008118AF">
        <w:rPr>
          <w:b/>
          <w:sz w:val="26"/>
          <w:szCs w:val="26"/>
        </w:rPr>
        <w:t>Master’s Degree Program: Modern Greek Language and Culture</w:t>
      </w:r>
    </w:p>
    <w:p w:rsidR="00347192" w:rsidRPr="008118AF" w:rsidRDefault="00347192" w:rsidP="008118AF">
      <w:pPr>
        <w:jc w:val="center"/>
        <w:rPr>
          <w:b/>
          <w:sz w:val="26"/>
          <w:szCs w:val="26"/>
        </w:rPr>
      </w:pPr>
      <w:r w:rsidRPr="008118AF">
        <w:rPr>
          <w:b/>
          <w:sz w:val="26"/>
          <w:szCs w:val="26"/>
        </w:rPr>
        <w:t>(</w:t>
      </w:r>
      <w:proofErr w:type="gramStart"/>
      <w:r w:rsidRPr="008118AF">
        <w:rPr>
          <w:b/>
          <w:sz w:val="26"/>
          <w:szCs w:val="26"/>
        </w:rPr>
        <w:t>for</w:t>
      </w:r>
      <w:proofErr w:type="gramEnd"/>
      <w:r w:rsidRPr="008118AF">
        <w:rPr>
          <w:b/>
          <w:sz w:val="26"/>
          <w:szCs w:val="26"/>
        </w:rPr>
        <w:t xml:space="preserve"> specialists)</w:t>
      </w:r>
    </w:p>
    <w:p w:rsidR="00347192" w:rsidRPr="008118AF" w:rsidRDefault="009E613B" w:rsidP="008118AF">
      <w:pPr>
        <w:jc w:val="both"/>
        <w:rPr>
          <w:rFonts w:cs="Arial"/>
          <w:b/>
          <w:color w:val="333333"/>
          <w:sz w:val="26"/>
          <w:szCs w:val="26"/>
        </w:rPr>
      </w:pPr>
      <w:r>
        <w:rPr>
          <w:rFonts w:cs="Arial"/>
          <w:b/>
          <w:color w:val="333333"/>
          <w:sz w:val="26"/>
          <w:szCs w:val="26"/>
        </w:rPr>
        <w:t>Duration of s</w:t>
      </w:r>
      <w:r w:rsidR="00347192" w:rsidRPr="008118AF">
        <w:rPr>
          <w:rFonts w:cs="Arial"/>
          <w:b/>
          <w:color w:val="333333"/>
          <w:sz w:val="26"/>
          <w:szCs w:val="26"/>
        </w:rPr>
        <w:t>tudy: 2 semesters</w:t>
      </w:r>
    </w:p>
    <w:p w:rsidR="00347192" w:rsidRPr="008118AF" w:rsidRDefault="008118AF" w:rsidP="008118AF">
      <w:pPr>
        <w:jc w:val="both"/>
        <w:rPr>
          <w:sz w:val="26"/>
          <w:szCs w:val="26"/>
        </w:rPr>
      </w:pPr>
      <w:r w:rsidRPr="009E613B">
        <w:rPr>
          <w:b/>
          <w:sz w:val="26"/>
          <w:szCs w:val="26"/>
        </w:rPr>
        <w:t>Professional q</w:t>
      </w:r>
      <w:r w:rsidR="00EF0AC5" w:rsidRPr="009E613B">
        <w:rPr>
          <w:b/>
          <w:sz w:val="26"/>
          <w:szCs w:val="26"/>
        </w:rPr>
        <w:t>ualification:</w:t>
      </w:r>
      <w:r w:rsidR="00EF0AC5" w:rsidRPr="008118AF">
        <w:rPr>
          <w:sz w:val="26"/>
          <w:szCs w:val="26"/>
        </w:rPr>
        <w:t xml:space="preserve"> </w:t>
      </w:r>
      <w:r w:rsidR="00347192" w:rsidRPr="008118AF">
        <w:rPr>
          <w:sz w:val="26"/>
          <w:szCs w:val="26"/>
        </w:rPr>
        <w:t>Philologist, specialist in Modern Greek Language and Culture</w:t>
      </w:r>
    </w:p>
    <w:p w:rsidR="009E613B" w:rsidRDefault="009E613B" w:rsidP="008118AF">
      <w:pPr>
        <w:jc w:val="both"/>
        <w:rPr>
          <w:color w:val="00B0F0"/>
          <w:sz w:val="26"/>
          <w:szCs w:val="26"/>
          <w:u w:val="single"/>
        </w:rPr>
      </w:pPr>
    </w:p>
    <w:p w:rsidR="00EF0AC5" w:rsidRPr="009E613B" w:rsidRDefault="00EF0AC5" w:rsidP="008118AF">
      <w:pPr>
        <w:jc w:val="both"/>
        <w:rPr>
          <w:color w:val="00B0F0"/>
          <w:sz w:val="26"/>
          <w:szCs w:val="26"/>
          <w:u w:val="single"/>
        </w:rPr>
      </w:pPr>
      <w:r w:rsidRPr="009E613B">
        <w:rPr>
          <w:color w:val="00B0F0"/>
          <w:sz w:val="26"/>
          <w:szCs w:val="26"/>
          <w:u w:val="single"/>
        </w:rPr>
        <w:t>Curriculum</w:t>
      </w:r>
    </w:p>
    <w:p w:rsidR="008118AF" w:rsidRDefault="008118AF" w:rsidP="008118AF">
      <w:pPr>
        <w:jc w:val="both"/>
        <w:rPr>
          <w:sz w:val="26"/>
          <w:szCs w:val="26"/>
        </w:rPr>
      </w:pPr>
    </w:p>
    <w:p w:rsidR="00EF0AC5" w:rsidRPr="008118AF" w:rsidRDefault="00EF0AC5" w:rsidP="008118AF">
      <w:pPr>
        <w:ind w:firstLine="720"/>
        <w:jc w:val="both"/>
        <w:rPr>
          <w:b/>
          <w:sz w:val="26"/>
          <w:szCs w:val="26"/>
        </w:rPr>
      </w:pPr>
      <w:r w:rsidRPr="008118AF">
        <w:rPr>
          <w:b/>
          <w:sz w:val="26"/>
          <w:szCs w:val="26"/>
        </w:rPr>
        <w:t xml:space="preserve">Annotation </w:t>
      </w:r>
    </w:p>
    <w:p w:rsidR="00EF0AC5" w:rsidRPr="008118AF" w:rsidRDefault="00EF0AC5" w:rsidP="008118AF">
      <w:pPr>
        <w:pStyle w:val="ListParagraph"/>
        <w:numPr>
          <w:ilvl w:val="0"/>
          <w:numId w:val="2"/>
        </w:numPr>
        <w:jc w:val="both"/>
        <w:rPr>
          <w:b/>
          <w:sz w:val="26"/>
          <w:szCs w:val="26"/>
        </w:rPr>
      </w:pPr>
      <w:r w:rsidRPr="008118AF">
        <w:rPr>
          <w:b/>
          <w:sz w:val="26"/>
          <w:szCs w:val="26"/>
        </w:rPr>
        <w:t>Aims and Educational Objectives</w:t>
      </w:r>
    </w:p>
    <w:p w:rsidR="00EF0AC5" w:rsidRDefault="00F679CF" w:rsidP="008118AF">
      <w:pPr>
        <w:pStyle w:val="ListParagraph"/>
        <w:jc w:val="both"/>
        <w:rPr>
          <w:sz w:val="26"/>
          <w:szCs w:val="26"/>
        </w:rPr>
      </w:pPr>
      <w:r w:rsidRPr="008118AF">
        <w:rPr>
          <w:sz w:val="26"/>
          <w:szCs w:val="26"/>
        </w:rPr>
        <w:t>The Master's program “Modern Greek Language and Culture" is the only program in the country that provides in-depth study of the Modern Greek language and culture. The MA program balances between linguistic disciplines, disciplines in Modern Greek language for special purposes and courses in Modern Greek literat</w:t>
      </w:r>
      <w:r w:rsidR="009E613B">
        <w:rPr>
          <w:sz w:val="26"/>
          <w:szCs w:val="26"/>
        </w:rPr>
        <w:t xml:space="preserve">ure, history, culture and </w:t>
      </w:r>
      <w:r w:rsidRPr="008118AF">
        <w:rPr>
          <w:sz w:val="26"/>
          <w:szCs w:val="26"/>
        </w:rPr>
        <w:t>didactics. Elective courses related to the ancient and medieval linguistic, literary and cultural Greek heritage are also included. Students expand their knowledge and competences in the field of the Modern Greek language, as well as in the field of the literature, culture and history of Modern Greece.</w:t>
      </w:r>
    </w:p>
    <w:p w:rsidR="008118AF" w:rsidRPr="008118AF" w:rsidRDefault="008118AF" w:rsidP="008118AF">
      <w:pPr>
        <w:pStyle w:val="ListParagraph"/>
        <w:jc w:val="both"/>
        <w:rPr>
          <w:sz w:val="26"/>
          <w:szCs w:val="26"/>
        </w:rPr>
      </w:pPr>
    </w:p>
    <w:p w:rsidR="00F679CF" w:rsidRPr="008118AF" w:rsidRDefault="008118AF" w:rsidP="008118AF">
      <w:pPr>
        <w:pStyle w:val="ListParagraph"/>
        <w:jc w:val="both"/>
        <w:rPr>
          <w:b/>
          <w:sz w:val="26"/>
          <w:szCs w:val="26"/>
        </w:rPr>
      </w:pPr>
      <w:r w:rsidRPr="008118AF">
        <w:rPr>
          <w:b/>
          <w:sz w:val="26"/>
          <w:szCs w:val="26"/>
        </w:rPr>
        <w:t xml:space="preserve">2. </w:t>
      </w:r>
      <w:r w:rsidR="00F679CF" w:rsidRPr="008118AF">
        <w:rPr>
          <w:b/>
          <w:sz w:val="26"/>
          <w:szCs w:val="26"/>
        </w:rPr>
        <w:t>Description of the educational content (knowledge and skills required for a successful professional realization; general and theoretical background,</w:t>
      </w:r>
      <w:r>
        <w:rPr>
          <w:b/>
          <w:sz w:val="26"/>
          <w:szCs w:val="26"/>
        </w:rPr>
        <w:t xml:space="preserve"> specific areas of study, etc.</w:t>
      </w:r>
    </w:p>
    <w:p w:rsidR="008D0CBD" w:rsidRPr="008118AF" w:rsidRDefault="00F679CF" w:rsidP="008118AF">
      <w:pPr>
        <w:pStyle w:val="ListParagraph"/>
        <w:jc w:val="both"/>
        <w:rPr>
          <w:sz w:val="26"/>
          <w:szCs w:val="26"/>
        </w:rPr>
      </w:pPr>
      <w:r w:rsidRPr="008118AF">
        <w:rPr>
          <w:sz w:val="26"/>
          <w:szCs w:val="26"/>
        </w:rPr>
        <w:t xml:space="preserve">The study in the Master's program “Modern Greek Language and Culture" lasts two semesters, with a minimum of 30 credits from compulsory and elective subjects being acquired in each semester, and a thesis is defended in the third semester. In the process of study, students develop several </w:t>
      </w:r>
      <w:proofErr w:type="spellStart"/>
      <w:r w:rsidRPr="008118AF">
        <w:rPr>
          <w:sz w:val="26"/>
          <w:szCs w:val="26"/>
        </w:rPr>
        <w:t>courseworks</w:t>
      </w:r>
      <w:proofErr w:type="spellEnd"/>
      <w:r w:rsidRPr="008118AF">
        <w:rPr>
          <w:sz w:val="26"/>
          <w:szCs w:val="26"/>
        </w:rPr>
        <w:t xml:space="preserve"> that require them to develop skills for working with scientific literature and prepare them for writing a Master’s thesis. Upon successful completion of the training, students acquire the professional qualification "Philologist </w:t>
      </w:r>
      <w:proofErr w:type="spellStart"/>
      <w:r w:rsidRPr="008118AF">
        <w:rPr>
          <w:sz w:val="26"/>
          <w:szCs w:val="26"/>
        </w:rPr>
        <w:t>Neohellenist</w:t>
      </w:r>
      <w:proofErr w:type="spellEnd"/>
      <w:r w:rsidRPr="008118AF">
        <w:rPr>
          <w:sz w:val="26"/>
          <w:szCs w:val="26"/>
        </w:rPr>
        <w:t>, Specialist in New Greek Language and Culture".</w:t>
      </w:r>
      <w:r w:rsidRPr="008118AF">
        <w:rPr>
          <w:sz w:val="26"/>
          <w:szCs w:val="26"/>
        </w:rPr>
        <w:tab/>
      </w:r>
    </w:p>
    <w:p w:rsidR="008D0CBD" w:rsidRPr="008118AF" w:rsidRDefault="00F679CF" w:rsidP="008118AF">
      <w:pPr>
        <w:pStyle w:val="ListParagraph"/>
        <w:jc w:val="both"/>
        <w:rPr>
          <w:sz w:val="26"/>
          <w:szCs w:val="26"/>
        </w:rPr>
      </w:pPr>
      <w:r w:rsidRPr="008118AF">
        <w:rPr>
          <w:sz w:val="26"/>
          <w:szCs w:val="26"/>
        </w:rPr>
        <w:tab/>
      </w:r>
      <w:r w:rsidRPr="008118AF">
        <w:rPr>
          <w:sz w:val="26"/>
          <w:szCs w:val="26"/>
        </w:rPr>
        <w:tab/>
      </w:r>
    </w:p>
    <w:p w:rsidR="008D0CBD" w:rsidRPr="008118AF" w:rsidRDefault="009E613B" w:rsidP="008118AF">
      <w:pPr>
        <w:pStyle w:val="ListParagraph"/>
        <w:jc w:val="both"/>
        <w:rPr>
          <w:b/>
          <w:sz w:val="26"/>
          <w:szCs w:val="26"/>
        </w:rPr>
      </w:pPr>
      <w:r>
        <w:rPr>
          <w:b/>
          <w:sz w:val="26"/>
          <w:szCs w:val="26"/>
        </w:rPr>
        <w:t xml:space="preserve">3. </w:t>
      </w:r>
      <w:r w:rsidR="008D0CBD" w:rsidRPr="008118AF">
        <w:rPr>
          <w:b/>
          <w:sz w:val="26"/>
          <w:szCs w:val="26"/>
        </w:rPr>
        <w:t>Professional and general com</w:t>
      </w:r>
      <w:r w:rsidR="008118AF" w:rsidRPr="008118AF">
        <w:rPr>
          <w:b/>
          <w:sz w:val="26"/>
          <w:szCs w:val="26"/>
        </w:rPr>
        <w:t xml:space="preserve">petences, specific competences </w:t>
      </w:r>
    </w:p>
    <w:p w:rsidR="008D0CBD" w:rsidRPr="008118AF" w:rsidRDefault="008D0CBD" w:rsidP="008118AF">
      <w:pPr>
        <w:pStyle w:val="ListParagraph"/>
        <w:jc w:val="both"/>
        <w:rPr>
          <w:sz w:val="26"/>
          <w:szCs w:val="26"/>
        </w:rPr>
      </w:pPr>
      <w:r w:rsidRPr="008118AF">
        <w:rPr>
          <w:sz w:val="26"/>
          <w:szCs w:val="26"/>
        </w:rPr>
        <w:lastRenderedPageBreak/>
        <w:t xml:space="preserve">Graduates of the Master's program “Modern Greek Language and Culture" reach language competence level C1 according to the Common European Framework of Reference for Languages. Successful Master‘s graduates can: </w:t>
      </w:r>
    </w:p>
    <w:p w:rsidR="008D0CBD" w:rsidRPr="008118AF" w:rsidRDefault="008D0CBD" w:rsidP="008118AF">
      <w:pPr>
        <w:pStyle w:val="ListParagraph"/>
        <w:jc w:val="both"/>
        <w:rPr>
          <w:sz w:val="26"/>
          <w:szCs w:val="26"/>
        </w:rPr>
      </w:pPr>
      <w:r w:rsidRPr="008118AF">
        <w:rPr>
          <w:sz w:val="26"/>
          <w:szCs w:val="26"/>
        </w:rPr>
        <w:t xml:space="preserve">• collect, classify and interpret information and facts from the field of </w:t>
      </w:r>
      <w:proofErr w:type="spellStart"/>
      <w:r w:rsidRPr="008118AF">
        <w:rPr>
          <w:sz w:val="26"/>
          <w:szCs w:val="26"/>
        </w:rPr>
        <w:t>Мodern</w:t>
      </w:r>
      <w:proofErr w:type="spellEnd"/>
      <w:r w:rsidRPr="008118AF">
        <w:rPr>
          <w:sz w:val="26"/>
          <w:szCs w:val="26"/>
        </w:rPr>
        <w:t xml:space="preserve"> Greek language, literature and culture in order to solve specific tasks; </w:t>
      </w:r>
    </w:p>
    <w:p w:rsidR="008D0CBD" w:rsidRPr="008118AF" w:rsidRDefault="008D0CBD" w:rsidP="008118AF">
      <w:pPr>
        <w:pStyle w:val="ListParagraph"/>
        <w:jc w:val="both"/>
        <w:rPr>
          <w:sz w:val="26"/>
          <w:szCs w:val="26"/>
        </w:rPr>
      </w:pPr>
      <w:r w:rsidRPr="008118AF">
        <w:rPr>
          <w:sz w:val="26"/>
          <w:szCs w:val="26"/>
        </w:rPr>
        <w:t xml:space="preserve">• apply the acquired knowledge and skills in the field of </w:t>
      </w:r>
      <w:proofErr w:type="spellStart"/>
      <w:r w:rsidRPr="008118AF">
        <w:rPr>
          <w:sz w:val="26"/>
          <w:szCs w:val="26"/>
        </w:rPr>
        <w:t>Мodern</w:t>
      </w:r>
      <w:proofErr w:type="spellEnd"/>
      <w:r w:rsidRPr="008118AF">
        <w:rPr>
          <w:sz w:val="26"/>
          <w:szCs w:val="26"/>
        </w:rPr>
        <w:t xml:space="preserve"> Greek language, literature and culture with a view to the implementation of </w:t>
      </w:r>
      <w:proofErr w:type="spellStart"/>
      <w:r w:rsidRPr="008118AF">
        <w:rPr>
          <w:sz w:val="26"/>
          <w:szCs w:val="26"/>
        </w:rPr>
        <w:t>interlinguistic</w:t>
      </w:r>
      <w:proofErr w:type="spellEnd"/>
      <w:r w:rsidRPr="008118AF">
        <w:rPr>
          <w:sz w:val="26"/>
          <w:szCs w:val="26"/>
        </w:rPr>
        <w:t xml:space="preserve"> and intercultural mediation; </w:t>
      </w:r>
    </w:p>
    <w:p w:rsidR="00F679CF" w:rsidRPr="008118AF" w:rsidRDefault="008D0CBD" w:rsidP="008118AF">
      <w:pPr>
        <w:pStyle w:val="ListParagraph"/>
        <w:jc w:val="both"/>
        <w:rPr>
          <w:sz w:val="26"/>
          <w:szCs w:val="26"/>
        </w:rPr>
      </w:pPr>
      <w:r w:rsidRPr="008118AF">
        <w:rPr>
          <w:sz w:val="26"/>
          <w:szCs w:val="26"/>
        </w:rPr>
        <w:t>• demonstrate the ability to analyze phenomena and problems of the modern world and in a wider social-humanitarian or interdisciplinary context based on and in parallel with Bulgarian-Greek and Balkan linguistic and cultural relations.</w:t>
      </w:r>
    </w:p>
    <w:p w:rsidR="008D0CBD" w:rsidRPr="008118AF" w:rsidRDefault="008D0CBD" w:rsidP="008118AF">
      <w:pPr>
        <w:pStyle w:val="ListParagraph"/>
        <w:jc w:val="both"/>
        <w:rPr>
          <w:sz w:val="26"/>
          <w:szCs w:val="26"/>
        </w:rPr>
      </w:pPr>
    </w:p>
    <w:p w:rsidR="008D0CBD" w:rsidRPr="00A742C0" w:rsidRDefault="008D0CBD" w:rsidP="008118AF">
      <w:pPr>
        <w:pStyle w:val="ListParagraph"/>
        <w:jc w:val="both"/>
        <w:rPr>
          <w:b/>
          <w:sz w:val="26"/>
          <w:szCs w:val="26"/>
        </w:rPr>
      </w:pPr>
      <w:r w:rsidRPr="00A742C0">
        <w:rPr>
          <w:b/>
          <w:sz w:val="26"/>
          <w:szCs w:val="26"/>
        </w:rPr>
        <w:t>4. Professional realization (according to the National Classification of Occupations in the Republic of Bulgaria / based on the International Standard Classification of Occupations (ISCO)/ and in reference to the place of the future specialists in the National Qualifications Framework for higher education and the European Qualifications Framework for higher education)</w:t>
      </w:r>
    </w:p>
    <w:p w:rsidR="008D0CBD" w:rsidRPr="008118AF" w:rsidRDefault="008D0CBD" w:rsidP="008118AF">
      <w:pPr>
        <w:pStyle w:val="ListParagraph"/>
        <w:jc w:val="both"/>
        <w:rPr>
          <w:sz w:val="26"/>
          <w:szCs w:val="26"/>
        </w:rPr>
      </w:pPr>
      <w:r w:rsidRPr="008118AF">
        <w:rPr>
          <w:sz w:val="26"/>
          <w:szCs w:val="26"/>
        </w:rPr>
        <w:t>Graduates of the МА program “Modern Greek Language and Culture" can work in government institutions and the private sector, where proficiency in the Modern Greek language (level C1) and knowledge of the history, literature and culture of Greece are required. Also, graduates of the specialty can study for PhD degree, can occupy the academic position "Assistant Professor", can work as translators in Bulgarian, foreign and European institutions, diplomats and employees in diplomatic missions, as journalists, editors, experts in mass media, etc. According to the National Classification of Professions and Positions in the Republic of Bulgaria, graduates of the MA program „Modern Greek Language and Culture" can be realized as:</w:t>
      </w:r>
    </w:p>
    <w:p w:rsidR="008D0CBD" w:rsidRPr="008118AF" w:rsidRDefault="008D0CBD" w:rsidP="008118AF">
      <w:pPr>
        <w:pStyle w:val="ListParagraph"/>
        <w:jc w:val="both"/>
        <w:rPr>
          <w:sz w:val="26"/>
          <w:szCs w:val="26"/>
        </w:rPr>
      </w:pPr>
      <w:r w:rsidRPr="008118AF">
        <w:rPr>
          <w:sz w:val="26"/>
          <w:szCs w:val="26"/>
        </w:rPr>
        <w:t>231 College, university and higher education teaching professionals</w:t>
      </w:r>
    </w:p>
    <w:p w:rsidR="008D0CBD" w:rsidRPr="008118AF" w:rsidRDefault="008D0CBD" w:rsidP="008118AF">
      <w:pPr>
        <w:pStyle w:val="ListParagraph"/>
        <w:jc w:val="both"/>
        <w:rPr>
          <w:sz w:val="26"/>
          <w:szCs w:val="26"/>
        </w:rPr>
      </w:pPr>
      <w:r w:rsidRPr="008118AF">
        <w:rPr>
          <w:sz w:val="26"/>
          <w:szCs w:val="26"/>
        </w:rPr>
        <w:t>235 Other teaching professionals</w:t>
      </w:r>
    </w:p>
    <w:p w:rsidR="008D0CBD" w:rsidRPr="008118AF" w:rsidRDefault="008D0CBD" w:rsidP="008118AF">
      <w:pPr>
        <w:pStyle w:val="ListParagraph"/>
        <w:jc w:val="both"/>
        <w:rPr>
          <w:sz w:val="26"/>
          <w:szCs w:val="26"/>
        </w:rPr>
      </w:pPr>
      <w:r w:rsidRPr="008118AF">
        <w:rPr>
          <w:sz w:val="26"/>
          <w:szCs w:val="26"/>
        </w:rPr>
        <w:t xml:space="preserve">2353 Other teaching professionals of foreign language and interests  </w:t>
      </w:r>
    </w:p>
    <w:p w:rsidR="008D0CBD" w:rsidRPr="008118AF" w:rsidRDefault="008D0CBD" w:rsidP="008118AF">
      <w:pPr>
        <w:pStyle w:val="ListParagraph"/>
        <w:jc w:val="both"/>
        <w:rPr>
          <w:sz w:val="26"/>
          <w:szCs w:val="26"/>
        </w:rPr>
      </w:pPr>
      <w:r w:rsidRPr="008118AF">
        <w:rPr>
          <w:sz w:val="26"/>
          <w:szCs w:val="26"/>
        </w:rPr>
        <w:t>2422 Professionals of politics management</w:t>
      </w:r>
    </w:p>
    <w:p w:rsidR="008D0CBD" w:rsidRPr="008118AF" w:rsidRDefault="008D0CBD" w:rsidP="008118AF">
      <w:pPr>
        <w:pStyle w:val="ListParagraph"/>
        <w:jc w:val="both"/>
        <w:rPr>
          <w:sz w:val="26"/>
          <w:szCs w:val="26"/>
        </w:rPr>
      </w:pPr>
      <w:r w:rsidRPr="008118AF">
        <w:rPr>
          <w:sz w:val="26"/>
          <w:szCs w:val="26"/>
        </w:rPr>
        <w:t>6005 Manager, international cooperation</w:t>
      </w:r>
    </w:p>
    <w:p w:rsidR="008D0CBD" w:rsidRPr="008118AF" w:rsidRDefault="008D0CBD" w:rsidP="008118AF">
      <w:pPr>
        <w:pStyle w:val="ListParagraph"/>
        <w:jc w:val="both"/>
        <w:rPr>
          <w:sz w:val="26"/>
          <w:szCs w:val="26"/>
        </w:rPr>
      </w:pPr>
      <w:r w:rsidRPr="008118AF">
        <w:rPr>
          <w:sz w:val="26"/>
          <w:szCs w:val="26"/>
        </w:rPr>
        <w:t>243 Sales, advertising and public relations managers</w:t>
      </w:r>
    </w:p>
    <w:p w:rsidR="008D0CBD" w:rsidRPr="008118AF" w:rsidRDefault="008D0CBD" w:rsidP="008118AF">
      <w:pPr>
        <w:pStyle w:val="ListParagraph"/>
        <w:jc w:val="both"/>
        <w:rPr>
          <w:sz w:val="26"/>
          <w:szCs w:val="26"/>
        </w:rPr>
      </w:pPr>
      <w:r w:rsidRPr="008118AF">
        <w:rPr>
          <w:sz w:val="26"/>
          <w:szCs w:val="26"/>
        </w:rPr>
        <w:t>2431 Advertising and public relations managers</w:t>
      </w:r>
    </w:p>
    <w:p w:rsidR="008D0CBD" w:rsidRPr="008118AF" w:rsidRDefault="008D0CBD" w:rsidP="008118AF">
      <w:pPr>
        <w:pStyle w:val="ListParagraph"/>
        <w:jc w:val="both"/>
        <w:rPr>
          <w:sz w:val="26"/>
          <w:szCs w:val="26"/>
        </w:rPr>
      </w:pPr>
      <w:r w:rsidRPr="008118AF">
        <w:rPr>
          <w:sz w:val="26"/>
          <w:szCs w:val="26"/>
        </w:rPr>
        <w:t>2432 Public relations managers</w:t>
      </w:r>
    </w:p>
    <w:p w:rsidR="008D0CBD" w:rsidRPr="008118AF" w:rsidRDefault="008D0CBD" w:rsidP="008118AF">
      <w:pPr>
        <w:pStyle w:val="ListParagraph"/>
        <w:jc w:val="both"/>
        <w:rPr>
          <w:sz w:val="26"/>
          <w:szCs w:val="26"/>
        </w:rPr>
      </w:pPr>
      <w:r w:rsidRPr="008118AF">
        <w:rPr>
          <w:sz w:val="26"/>
          <w:szCs w:val="26"/>
        </w:rPr>
        <w:t xml:space="preserve">263 Religion and social science professionals </w:t>
      </w:r>
    </w:p>
    <w:p w:rsidR="008D0CBD" w:rsidRPr="008118AF" w:rsidRDefault="008D0CBD" w:rsidP="008118AF">
      <w:pPr>
        <w:pStyle w:val="ListParagraph"/>
        <w:jc w:val="both"/>
        <w:rPr>
          <w:sz w:val="26"/>
          <w:szCs w:val="26"/>
        </w:rPr>
      </w:pPr>
      <w:r w:rsidRPr="008118AF">
        <w:rPr>
          <w:sz w:val="26"/>
          <w:szCs w:val="26"/>
        </w:rPr>
        <w:t>264 Authors, journalists and similar professionals</w:t>
      </w:r>
    </w:p>
    <w:p w:rsidR="008D0CBD" w:rsidRPr="008118AF" w:rsidRDefault="008D0CBD" w:rsidP="008118AF">
      <w:pPr>
        <w:pStyle w:val="ListParagraph"/>
        <w:jc w:val="both"/>
        <w:rPr>
          <w:sz w:val="26"/>
          <w:szCs w:val="26"/>
        </w:rPr>
      </w:pPr>
      <w:r w:rsidRPr="008118AF">
        <w:rPr>
          <w:sz w:val="26"/>
          <w:szCs w:val="26"/>
        </w:rPr>
        <w:lastRenderedPageBreak/>
        <w:t xml:space="preserve"> 2641 Authors and similar professionals </w:t>
      </w:r>
    </w:p>
    <w:p w:rsidR="008D0CBD" w:rsidRPr="008118AF" w:rsidRDefault="008D0CBD" w:rsidP="008118AF">
      <w:pPr>
        <w:pStyle w:val="ListParagraph"/>
        <w:jc w:val="both"/>
        <w:rPr>
          <w:sz w:val="26"/>
          <w:szCs w:val="26"/>
        </w:rPr>
      </w:pPr>
      <w:r w:rsidRPr="008118AF">
        <w:rPr>
          <w:sz w:val="26"/>
          <w:szCs w:val="26"/>
        </w:rPr>
        <w:t>2642 Journalists</w:t>
      </w:r>
    </w:p>
    <w:p w:rsidR="008D0CBD" w:rsidRPr="008118AF" w:rsidRDefault="008D0CBD" w:rsidP="008118AF">
      <w:pPr>
        <w:pStyle w:val="ListParagraph"/>
        <w:jc w:val="both"/>
        <w:rPr>
          <w:sz w:val="26"/>
          <w:szCs w:val="26"/>
        </w:rPr>
      </w:pPr>
      <w:r w:rsidRPr="008118AF">
        <w:rPr>
          <w:sz w:val="26"/>
          <w:szCs w:val="26"/>
        </w:rPr>
        <w:t>2643 Translators and other linguists</w:t>
      </w:r>
    </w:p>
    <w:p w:rsidR="008D0CBD" w:rsidRPr="008118AF" w:rsidRDefault="008D0CBD" w:rsidP="008118AF">
      <w:pPr>
        <w:pStyle w:val="ListParagraph"/>
        <w:jc w:val="both"/>
        <w:rPr>
          <w:sz w:val="26"/>
          <w:szCs w:val="26"/>
        </w:rPr>
      </w:pPr>
      <w:r w:rsidRPr="008118AF">
        <w:rPr>
          <w:sz w:val="26"/>
          <w:szCs w:val="26"/>
        </w:rPr>
        <w:t>2656 Radio, television and other announcers</w:t>
      </w:r>
    </w:p>
    <w:p w:rsidR="008D0CBD" w:rsidRPr="008118AF" w:rsidRDefault="008D0CBD" w:rsidP="008118AF">
      <w:pPr>
        <w:pStyle w:val="ListParagraph"/>
        <w:jc w:val="both"/>
        <w:rPr>
          <w:sz w:val="26"/>
          <w:szCs w:val="26"/>
        </w:rPr>
      </w:pPr>
      <w:r w:rsidRPr="008118AF">
        <w:rPr>
          <w:sz w:val="26"/>
          <w:szCs w:val="26"/>
        </w:rPr>
        <w:t>3339 Business services agents and trade brokers</w:t>
      </w:r>
    </w:p>
    <w:p w:rsidR="008D0CBD" w:rsidRPr="008118AF" w:rsidRDefault="008D0CBD" w:rsidP="008118AF">
      <w:pPr>
        <w:pStyle w:val="ListParagraph"/>
        <w:jc w:val="both"/>
        <w:rPr>
          <w:sz w:val="26"/>
          <w:szCs w:val="26"/>
        </w:rPr>
      </w:pPr>
      <w:r w:rsidRPr="008118AF">
        <w:rPr>
          <w:sz w:val="26"/>
          <w:szCs w:val="26"/>
        </w:rPr>
        <w:t xml:space="preserve">334 Administrative technical professionals </w:t>
      </w:r>
    </w:p>
    <w:p w:rsidR="008D0CBD" w:rsidRPr="008118AF" w:rsidRDefault="008D0CBD" w:rsidP="008118AF">
      <w:pPr>
        <w:pStyle w:val="ListParagraph"/>
        <w:jc w:val="both"/>
        <w:rPr>
          <w:sz w:val="26"/>
          <w:szCs w:val="26"/>
        </w:rPr>
      </w:pPr>
      <w:r w:rsidRPr="008118AF">
        <w:rPr>
          <w:sz w:val="26"/>
          <w:szCs w:val="26"/>
        </w:rPr>
        <w:t xml:space="preserve">335 Public administration technical professionals </w:t>
      </w:r>
    </w:p>
    <w:p w:rsidR="008D0CBD" w:rsidRPr="008118AF" w:rsidRDefault="008D0CBD" w:rsidP="008118AF">
      <w:pPr>
        <w:pStyle w:val="ListParagraph"/>
        <w:jc w:val="both"/>
        <w:rPr>
          <w:sz w:val="26"/>
          <w:szCs w:val="26"/>
        </w:rPr>
      </w:pPr>
      <w:r w:rsidRPr="008118AF">
        <w:rPr>
          <w:sz w:val="26"/>
          <w:szCs w:val="26"/>
        </w:rPr>
        <w:t>3359 Other public administration technical professionals</w:t>
      </w:r>
    </w:p>
    <w:p w:rsidR="008D0CBD" w:rsidRDefault="008D0CBD" w:rsidP="00A742C0">
      <w:pPr>
        <w:pStyle w:val="ListParagraph"/>
        <w:jc w:val="both"/>
        <w:rPr>
          <w:sz w:val="26"/>
          <w:szCs w:val="26"/>
        </w:rPr>
      </w:pPr>
      <w:r w:rsidRPr="008118AF">
        <w:rPr>
          <w:sz w:val="26"/>
          <w:szCs w:val="26"/>
        </w:rPr>
        <w:t>411 General administration professionals</w:t>
      </w:r>
    </w:p>
    <w:p w:rsidR="00A742C0" w:rsidRPr="00A742C0" w:rsidRDefault="00A742C0" w:rsidP="00A742C0">
      <w:pPr>
        <w:pStyle w:val="ListParagraph"/>
        <w:jc w:val="both"/>
        <w:rPr>
          <w:sz w:val="26"/>
          <w:szCs w:val="26"/>
        </w:rPr>
      </w:pPr>
    </w:p>
    <w:p w:rsidR="00AC12F6" w:rsidRPr="00A742C0" w:rsidRDefault="00CF7AB0" w:rsidP="008118AF">
      <w:pPr>
        <w:jc w:val="both"/>
        <w:rPr>
          <w:b/>
          <w:sz w:val="26"/>
          <w:szCs w:val="26"/>
        </w:rPr>
      </w:pPr>
      <w:r>
        <w:rPr>
          <w:b/>
          <w:sz w:val="26"/>
          <w:szCs w:val="26"/>
        </w:rPr>
        <w:t xml:space="preserve">Admission </w:t>
      </w:r>
      <w:r w:rsidRPr="00CF7AB0">
        <w:rPr>
          <w:b/>
          <w:sz w:val="26"/>
          <w:szCs w:val="26"/>
        </w:rPr>
        <w:t>requirements</w:t>
      </w:r>
    </w:p>
    <w:p w:rsidR="00AC12F6" w:rsidRPr="008118AF" w:rsidRDefault="008D0CBD" w:rsidP="008118AF">
      <w:pPr>
        <w:jc w:val="both"/>
        <w:rPr>
          <w:sz w:val="26"/>
          <w:szCs w:val="26"/>
        </w:rPr>
      </w:pPr>
      <w:r w:rsidRPr="008118AF">
        <w:rPr>
          <w:sz w:val="26"/>
          <w:szCs w:val="26"/>
        </w:rPr>
        <w:t xml:space="preserve">1. Completed Bachelor's degree in Modern Greek Philology or </w:t>
      </w:r>
      <w:r w:rsidR="00CF7AB0" w:rsidRPr="008118AF">
        <w:rPr>
          <w:sz w:val="26"/>
          <w:szCs w:val="26"/>
        </w:rPr>
        <w:t>Bachelor's degree</w:t>
      </w:r>
      <w:r w:rsidR="00CF7AB0" w:rsidRPr="008118AF">
        <w:rPr>
          <w:sz w:val="26"/>
          <w:szCs w:val="26"/>
        </w:rPr>
        <w:t xml:space="preserve"> </w:t>
      </w:r>
      <w:r w:rsidR="00CF7AB0">
        <w:rPr>
          <w:sz w:val="26"/>
          <w:szCs w:val="26"/>
        </w:rPr>
        <w:t xml:space="preserve">in </w:t>
      </w:r>
      <w:r w:rsidRPr="008118AF">
        <w:rPr>
          <w:sz w:val="26"/>
          <w:szCs w:val="26"/>
        </w:rPr>
        <w:t>Philol</w:t>
      </w:r>
      <w:r w:rsidR="00AC12F6" w:rsidRPr="008118AF">
        <w:rPr>
          <w:sz w:val="26"/>
          <w:szCs w:val="26"/>
        </w:rPr>
        <w:t>ogy with Modern Greek Language.</w:t>
      </w:r>
    </w:p>
    <w:p w:rsidR="00AC12F6" w:rsidRPr="008118AF" w:rsidRDefault="008D0CBD" w:rsidP="008118AF">
      <w:pPr>
        <w:jc w:val="both"/>
        <w:rPr>
          <w:sz w:val="26"/>
          <w:szCs w:val="26"/>
        </w:rPr>
      </w:pPr>
      <w:r w:rsidRPr="008118AF">
        <w:rPr>
          <w:sz w:val="26"/>
          <w:szCs w:val="26"/>
        </w:rPr>
        <w:t>2. A grade from the diploma for completed h</w:t>
      </w:r>
      <w:r w:rsidR="004726AF" w:rsidRPr="008118AF">
        <w:rPr>
          <w:sz w:val="26"/>
          <w:szCs w:val="26"/>
        </w:rPr>
        <w:t>igher education not lower than G</w:t>
      </w:r>
      <w:r w:rsidRPr="008118AF">
        <w:rPr>
          <w:sz w:val="26"/>
          <w:szCs w:val="26"/>
        </w:rPr>
        <w:t xml:space="preserve">ood (4.00). </w:t>
      </w:r>
    </w:p>
    <w:p w:rsidR="00AC12F6" w:rsidRPr="008118AF" w:rsidRDefault="008D0CBD" w:rsidP="008118AF">
      <w:pPr>
        <w:jc w:val="both"/>
        <w:rPr>
          <w:sz w:val="26"/>
          <w:szCs w:val="26"/>
        </w:rPr>
      </w:pPr>
      <w:r w:rsidRPr="008118AF">
        <w:rPr>
          <w:sz w:val="26"/>
          <w:szCs w:val="26"/>
        </w:rPr>
        <w:t xml:space="preserve">3. </w:t>
      </w:r>
      <w:r w:rsidR="00AC12F6" w:rsidRPr="008118AF">
        <w:rPr>
          <w:sz w:val="26"/>
          <w:szCs w:val="26"/>
        </w:rPr>
        <w:t>The c</w:t>
      </w:r>
      <w:r w:rsidRPr="008118AF">
        <w:rPr>
          <w:sz w:val="26"/>
          <w:szCs w:val="26"/>
        </w:rPr>
        <w:t xml:space="preserve">andidates </w:t>
      </w:r>
      <w:r w:rsidR="00E154B3" w:rsidRPr="008118AF">
        <w:rPr>
          <w:sz w:val="26"/>
          <w:szCs w:val="26"/>
        </w:rPr>
        <w:t>take</w:t>
      </w:r>
      <w:r w:rsidRPr="008118AF">
        <w:rPr>
          <w:sz w:val="26"/>
          <w:szCs w:val="26"/>
        </w:rPr>
        <w:t xml:space="preserve"> an exam in Modern Greek: dictation, language test and essay composition in Modern Greek. </w:t>
      </w:r>
    </w:p>
    <w:p w:rsidR="00347192" w:rsidRPr="008118AF" w:rsidRDefault="00AC12F6" w:rsidP="008118AF">
      <w:pPr>
        <w:jc w:val="both"/>
        <w:rPr>
          <w:sz w:val="26"/>
          <w:szCs w:val="26"/>
        </w:rPr>
      </w:pPr>
      <w:r w:rsidRPr="008118AF">
        <w:rPr>
          <w:sz w:val="26"/>
          <w:szCs w:val="26"/>
        </w:rPr>
        <w:t xml:space="preserve">4. The candidates with a Bachelor's degree in Modern Greek Philology </w:t>
      </w:r>
      <w:r w:rsidR="00CF7AB0">
        <w:rPr>
          <w:sz w:val="26"/>
          <w:szCs w:val="26"/>
        </w:rPr>
        <w:t>and</w:t>
      </w:r>
      <w:r w:rsidRPr="008118AF">
        <w:rPr>
          <w:sz w:val="26"/>
          <w:szCs w:val="26"/>
        </w:rPr>
        <w:t xml:space="preserve"> an average grade in the state exams in the Bachelor's deg</w:t>
      </w:r>
      <w:r w:rsidR="00CF7AB0">
        <w:rPr>
          <w:sz w:val="26"/>
          <w:szCs w:val="26"/>
        </w:rPr>
        <w:t>ree not less than Very g</w:t>
      </w:r>
      <w:r w:rsidRPr="008118AF">
        <w:rPr>
          <w:sz w:val="26"/>
          <w:szCs w:val="26"/>
        </w:rPr>
        <w:t xml:space="preserve">ood </w:t>
      </w:r>
      <w:r w:rsidR="004726AF" w:rsidRPr="008118AF">
        <w:rPr>
          <w:sz w:val="26"/>
          <w:szCs w:val="26"/>
        </w:rPr>
        <w:t>(</w:t>
      </w:r>
      <w:r w:rsidRPr="008118AF">
        <w:rPr>
          <w:sz w:val="26"/>
          <w:szCs w:val="26"/>
        </w:rPr>
        <w:t>5.00</w:t>
      </w:r>
      <w:r w:rsidR="004726AF" w:rsidRPr="008118AF">
        <w:rPr>
          <w:sz w:val="26"/>
          <w:szCs w:val="26"/>
        </w:rPr>
        <w:t>)</w:t>
      </w:r>
      <w:r w:rsidRPr="008118AF">
        <w:rPr>
          <w:sz w:val="26"/>
          <w:szCs w:val="26"/>
        </w:rPr>
        <w:t xml:space="preserve"> do not </w:t>
      </w:r>
      <w:r w:rsidR="00E154B3" w:rsidRPr="008118AF">
        <w:rPr>
          <w:sz w:val="26"/>
          <w:szCs w:val="26"/>
        </w:rPr>
        <w:t>take</w:t>
      </w:r>
      <w:r w:rsidR="004726AF" w:rsidRPr="008118AF">
        <w:rPr>
          <w:sz w:val="26"/>
          <w:szCs w:val="26"/>
        </w:rPr>
        <w:t xml:space="preserve"> the</w:t>
      </w:r>
      <w:r w:rsidRPr="008118AF">
        <w:rPr>
          <w:sz w:val="26"/>
          <w:szCs w:val="26"/>
        </w:rPr>
        <w:t xml:space="preserve"> entrance exam.</w:t>
      </w:r>
    </w:p>
    <w:p w:rsidR="00E154B3" w:rsidRPr="008118AF" w:rsidRDefault="00E154B3" w:rsidP="008118AF">
      <w:pPr>
        <w:jc w:val="both"/>
        <w:rPr>
          <w:sz w:val="26"/>
          <w:szCs w:val="26"/>
        </w:rPr>
      </w:pPr>
    </w:p>
    <w:p w:rsidR="00E154B3" w:rsidRPr="00CF7AB0" w:rsidRDefault="00E36A4F" w:rsidP="008118AF">
      <w:pPr>
        <w:jc w:val="both"/>
        <w:rPr>
          <w:b/>
          <w:sz w:val="26"/>
          <w:szCs w:val="26"/>
        </w:rPr>
      </w:pPr>
      <w:r w:rsidRPr="00E36A4F">
        <w:rPr>
          <w:b/>
          <w:sz w:val="26"/>
          <w:szCs w:val="26"/>
        </w:rPr>
        <w:t xml:space="preserve">Compulsory </w:t>
      </w:r>
      <w:r>
        <w:rPr>
          <w:b/>
          <w:sz w:val="26"/>
          <w:szCs w:val="26"/>
        </w:rPr>
        <w:t>courses</w:t>
      </w:r>
    </w:p>
    <w:tbl>
      <w:tblPr>
        <w:tblStyle w:val="TableGrid"/>
        <w:tblW w:w="9209" w:type="dxa"/>
        <w:tblLook w:val="04A0" w:firstRow="1" w:lastRow="0" w:firstColumn="1" w:lastColumn="0" w:noHBand="0" w:noVBand="1"/>
      </w:tblPr>
      <w:tblGrid>
        <w:gridCol w:w="3802"/>
        <w:gridCol w:w="2621"/>
        <w:gridCol w:w="2786"/>
      </w:tblGrid>
      <w:tr w:rsidR="00B16D48" w:rsidRPr="00A742C0" w:rsidTr="001067DB">
        <w:trPr>
          <w:trHeight w:val="600"/>
        </w:trPr>
        <w:tc>
          <w:tcPr>
            <w:tcW w:w="3802" w:type="dxa"/>
          </w:tcPr>
          <w:p w:rsidR="00B16D48" w:rsidRPr="00A742C0" w:rsidRDefault="00E36A4F" w:rsidP="00A742C0">
            <w:pPr>
              <w:spacing w:line="264" w:lineRule="auto"/>
              <w:jc w:val="center"/>
              <w:rPr>
                <w:rFonts w:ascii="Cambria" w:eastAsia="Times New Roman" w:hAnsi="Cambria"/>
                <w:b/>
                <w:sz w:val="26"/>
                <w:szCs w:val="26"/>
                <w:lang w:val="en-US" w:eastAsia="bg-BG"/>
              </w:rPr>
            </w:pPr>
            <w:r>
              <w:rPr>
                <w:rFonts w:ascii="Cambria" w:eastAsia="Times New Roman" w:hAnsi="Cambria"/>
                <w:b/>
                <w:sz w:val="26"/>
                <w:szCs w:val="26"/>
                <w:lang w:val="en-US" w:eastAsia="bg-BG"/>
              </w:rPr>
              <w:t>Course</w:t>
            </w:r>
          </w:p>
        </w:tc>
        <w:tc>
          <w:tcPr>
            <w:tcW w:w="2621" w:type="dxa"/>
          </w:tcPr>
          <w:p w:rsidR="00B16D48" w:rsidRPr="00A742C0" w:rsidRDefault="00B16D48" w:rsidP="00A742C0">
            <w:pPr>
              <w:spacing w:line="264" w:lineRule="auto"/>
              <w:jc w:val="center"/>
              <w:rPr>
                <w:rFonts w:ascii="Cambria" w:eastAsia="Times New Roman" w:hAnsi="Cambria"/>
                <w:b/>
                <w:sz w:val="26"/>
                <w:szCs w:val="26"/>
                <w:lang w:val="en-US" w:eastAsia="bg-BG"/>
              </w:rPr>
            </w:pPr>
            <w:r w:rsidRPr="00A742C0">
              <w:rPr>
                <w:rFonts w:ascii="Cambria" w:eastAsia="Times New Roman" w:hAnsi="Cambria"/>
                <w:b/>
                <w:sz w:val="26"/>
                <w:szCs w:val="26"/>
                <w:lang w:val="en-US" w:eastAsia="bg-BG"/>
              </w:rPr>
              <w:t>Teacher</w:t>
            </w:r>
          </w:p>
        </w:tc>
        <w:tc>
          <w:tcPr>
            <w:tcW w:w="2786" w:type="dxa"/>
          </w:tcPr>
          <w:p w:rsidR="0043677B" w:rsidRDefault="00B16D48" w:rsidP="00A742C0">
            <w:pPr>
              <w:spacing w:line="264" w:lineRule="auto"/>
              <w:jc w:val="center"/>
              <w:rPr>
                <w:rFonts w:ascii="Cambria" w:hAnsi="Cambria"/>
                <w:b/>
                <w:sz w:val="26"/>
                <w:szCs w:val="26"/>
                <w:lang w:val="en-US"/>
              </w:rPr>
            </w:pPr>
            <w:r w:rsidRPr="00A742C0">
              <w:rPr>
                <w:rFonts w:ascii="Cambria" w:hAnsi="Cambria"/>
                <w:b/>
                <w:sz w:val="26"/>
                <w:szCs w:val="26"/>
                <w:lang w:val="en-US"/>
              </w:rPr>
              <w:t xml:space="preserve">Workload </w:t>
            </w:r>
          </w:p>
          <w:p w:rsidR="00B16D48" w:rsidRPr="00A742C0" w:rsidRDefault="00B16D48" w:rsidP="00A742C0">
            <w:pPr>
              <w:spacing w:line="264" w:lineRule="auto"/>
              <w:jc w:val="center"/>
              <w:rPr>
                <w:rFonts w:ascii="Cambria" w:eastAsia="Times New Roman" w:hAnsi="Cambria"/>
                <w:b/>
                <w:sz w:val="26"/>
                <w:szCs w:val="26"/>
                <w:lang w:val="en-US" w:eastAsia="bg-BG"/>
              </w:rPr>
            </w:pPr>
            <w:bookmarkStart w:id="0" w:name="_GoBack"/>
            <w:bookmarkEnd w:id="0"/>
            <w:r w:rsidRPr="00A742C0">
              <w:rPr>
                <w:rFonts w:ascii="Cambria" w:hAnsi="Cambria"/>
                <w:b/>
                <w:sz w:val="26"/>
                <w:szCs w:val="26"/>
                <w:lang w:val="en-US"/>
              </w:rPr>
              <w:t>(lectures + exercises)</w:t>
            </w:r>
          </w:p>
        </w:tc>
      </w:tr>
      <w:tr w:rsidR="00B16D48" w:rsidRPr="00A742C0" w:rsidTr="001067DB">
        <w:trPr>
          <w:trHeight w:val="600"/>
        </w:trPr>
        <w:tc>
          <w:tcPr>
            <w:tcW w:w="3802" w:type="dxa"/>
            <w:hideMark/>
          </w:tcPr>
          <w:p w:rsidR="00B16D48" w:rsidRPr="00A742C0" w:rsidRDefault="00B16D48" w:rsidP="008118AF">
            <w:pPr>
              <w:jc w:val="both"/>
              <w:rPr>
                <w:rFonts w:ascii="Cambria" w:hAnsi="Cambria"/>
                <w:sz w:val="26"/>
                <w:szCs w:val="26"/>
                <w:lang w:val="en-US"/>
              </w:rPr>
            </w:pPr>
            <w:r w:rsidRPr="00A742C0">
              <w:rPr>
                <w:rFonts w:ascii="Cambria" w:hAnsi="Cambria"/>
                <w:sz w:val="26"/>
                <w:szCs w:val="26"/>
                <w:lang w:val="en-US"/>
              </w:rPr>
              <w:t>Modern Greek language - economic terminology</w:t>
            </w:r>
          </w:p>
        </w:tc>
        <w:tc>
          <w:tcPr>
            <w:tcW w:w="2621" w:type="dxa"/>
          </w:tcPr>
          <w:p w:rsidR="00B16D48"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Assoc. P</w:t>
            </w:r>
            <w:r w:rsidR="00B16D48" w:rsidRPr="00A742C0">
              <w:rPr>
                <w:rFonts w:ascii="Cambria" w:eastAsia="Times New Roman" w:hAnsi="Cambria"/>
                <w:sz w:val="26"/>
                <w:szCs w:val="26"/>
                <w:lang w:val="en-US" w:eastAsia="bg-BG"/>
              </w:rPr>
              <w:t>rof</w:t>
            </w:r>
            <w:r w:rsidRPr="00A742C0">
              <w:rPr>
                <w:rFonts w:ascii="Cambria" w:eastAsia="Times New Roman" w:hAnsi="Cambria"/>
                <w:sz w:val="26"/>
                <w:szCs w:val="26"/>
                <w:lang w:val="en-US" w:eastAsia="bg-BG"/>
              </w:rPr>
              <w:t>.</w:t>
            </w:r>
            <w:r w:rsidR="00B16D48" w:rsidRPr="00A742C0">
              <w:rPr>
                <w:rFonts w:ascii="Cambria" w:eastAsia="Times New Roman" w:hAnsi="Cambria"/>
                <w:sz w:val="26"/>
                <w:szCs w:val="26"/>
                <w:lang w:val="en-US" w:eastAsia="bg-BG"/>
              </w:rPr>
              <w:t xml:space="preserve"> Boris </w:t>
            </w:r>
            <w:proofErr w:type="spellStart"/>
            <w:r w:rsidR="00B16D48" w:rsidRPr="00A742C0">
              <w:rPr>
                <w:rFonts w:ascii="Cambria" w:eastAsia="Times New Roman" w:hAnsi="Cambria"/>
                <w:sz w:val="26"/>
                <w:szCs w:val="26"/>
                <w:lang w:val="en-US" w:eastAsia="bg-BG"/>
              </w:rPr>
              <w:t>Vounchev</w:t>
            </w:r>
            <w:proofErr w:type="spellEnd"/>
            <w:r w:rsidR="00B16D48" w:rsidRPr="00A742C0">
              <w:rPr>
                <w:rFonts w:ascii="Cambria" w:eastAsia="Times New Roman" w:hAnsi="Cambria"/>
                <w:sz w:val="26"/>
                <w:szCs w:val="26"/>
                <w:lang w:val="en-US" w:eastAsia="bg-BG"/>
              </w:rPr>
              <w:t>, D.Sc.</w:t>
            </w:r>
          </w:p>
        </w:tc>
        <w:tc>
          <w:tcPr>
            <w:tcW w:w="2786" w:type="dxa"/>
          </w:tcPr>
          <w:p w:rsidR="00B16D48" w:rsidRPr="00A742C0" w:rsidRDefault="00B16D48"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0+4</w:t>
            </w:r>
          </w:p>
        </w:tc>
      </w:tr>
      <w:tr w:rsidR="00B16D48" w:rsidRPr="00A742C0" w:rsidTr="001067DB">
        <w:trPr>
          <w:trHeight w:val="675"/>
        </w:trPr>
        <w:tc>
          <w:tcPr>
            <w:tcW w:w="3802" w:type="dxa"/>
            <w:hideMark/>
          </w:tcPr>
          <w:p w:rsidR="00B16D48" w:rsidRPr="00A742C0" w:rsidRDefault="00B16D48" w:rsidP="008118AF">
            <w:pPr>
              <w:jc w:val="both"/>
              <w:rPr>
                <w:rFonts w:ascii="Cambria" w:hAnsi="Cambria"/>
                <w:sz w:val="26"/>
                <w:szCs w:val="26"/>
                <w:lang w:val="en-US"/>
              </w:rPr>
            </w:pPr>
            <w:r w:rsidRPr="00A742C0">
              <w:rPr>
                <w:rFonts w:ascii="Cambria" w:hAnsi="Cambria"/>
                <w:sz w:val="26"/>
                <w:szCs w:val="26"/>
                <w:lang w:val="en-US"/>
              </w:rPr>
              <w:t>The learned level in the modern Greek language</w:t>
            </w:r>
          </w:p>
        </w:tc>
        <w:tc>
          <w:tcPr>
            <w:tcW w:w="2621" w:type="dxa"/>
          </w:tcPr>
          <w:p w:rsidR="00B16D48"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Chief Assist. Prof Irina </w:t>
            </w:r>
            <w:proofErr w:type="spellStart"/>
            <w:r w:rsidRPr="00A742C0">
              <w:rPr>
                <w:rFonts w:ascii="Cambria" w:eastAsia="Times New Roman" w:hAnsi="Cambria"/>
                <w:sz w:val="26"/>
                <w:szCs w:val="26"/>
                <w:lang w:val="en-US" w:eastAsia="bg-BG"/>
              </w:rPr>
              <w:t>Strikova</w:t>
            </w:r>
            <w:proofErr w:type="spellEnd"/>
            <w:r w:rsidRPr="00A742C0">
              <w:rPr>
                <w:rFonts w:ascii="Cambria" w:eastAsia="Times New Roman" w:hAnsi="Cambria"/>
                <w:sz w:val="26"/>
                <w:szCs w:val="26"/>
                <w:lang w:val="en-US" w:eastAsia="bg-BG"/>
              </w:rPr>
              <w:t>, Ph.D.</w:t>
            </w:r>
          </w:p>
        </w:tc>
        <w:tc>
          <w:tcPr>
            <w:tcW w:w="2786" w:type="dxa"/>
          </w:tcPr>
          <w:p w:rsidR="00B16D48" w:rsidRPr="00A742C0" w:rsidRDefault="00B16D48"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0+4</w:t>
            </w:r>
          </w:p>
        </w:tc>
      </w:tr>
      <w:tr w:rsidR="00B16D48" w:rsidRPr="00A742C0" w:rsidTr="001067DB">
        <w:trPr>
          <w:trHeight w:val="945"/>
        </w:trPr>
        <w:tc>
          <w:tcPr>
            <w:tcW w:w="3802" w:type="dxa"/>
            <w:hideMark/>
          </w:tcPr>
          <w:p w:rsidR="00B16D48" w:rsidRPr="00A742C0" w:rsidRDefault="00B16D48" w:rsidP="008118AF">
            <w:pPr>
              <w:jc w:val="both"/>
              <w:rPr>
                <w:rFonts w:ascii="Cambria" w:hAnsi="Cambria"/>
                <w:sz w:val="26"/>
                <w:szCs w:val="26"/>
                <w:lang w:val="en-US"/>
              </w:rPr>
            </w:pPr>
            <w:r w:rsidRPr="00A742C0">
              <w:rPr>
                <w:rFonts w:ascii="Cambria" w:hAnsi="Cambria"/>
                <w:sz w:val="26"/>
                <w:szCs w:val="26"/>
                <w:lang w:val="en-US"/>
              </w:rPr>
              <w:t>Modern Greek for special purposes - professional terminology in law enforcement</w:t>
            </w:r>
          </w:p>
        </w:tc>
        <w:tc>
          <w:tcPr>
            <w:tcW w:w="2621" w:type="dxa"/>
          </w:tcPr>
          <w:p w:rsidR="00B16D48"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Assoc. Prof. Daniela </w:t>
            </w:r>
            <w:proofErr w:type="spellStart"/>
            <w:r w:rsidRPr="00A742C0">
              <w:rPr>
                <w:rFonts w:ascii="Cambria" w:eastAsia="Times New Roman" w:hAnsi="Cambria"/>
                <w:sz w:val="26"/>
                <w:szCs w:val="26"/>
                <w:lang w:val="en-US" w:eastAsia="bg-BG"/>
              </w:rPr>
              <w:t>Boyanova</w:t>
            </w:r>
            <w:proofErr w:type="spellEnd"/>
            <w:r w:rsidRPr="00A742C0">
              <w:rPr>
                <w:rFonts w:ascii="Cambria" w:eastAsia="Times New Roman" w:hAnsi="Cambria"/>
                <w:sz w:val="26"/>
                <w:szCs w:val="26"/>
                <w:lang w:val="en-US" w:eastAsia="bg-BG"/>
              </w:rPr>
              <w:t>, Ph.D.</w:t>
            </w:r>
          </w:p>
        </w:tc>
        <w:tc>
          <w:tcPr>
            <w:tcW w:w="2786" w:type="dxa"/>
          </w:tcPr>
          <w:p w:rsidR="00B16D48" w:rsidRPr="00A742C0" w:rsidRDefault="00B16D48"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0+4</w:t>
            </w:r>
          </w:p>
        </w:tc>
      </w:tr>
      <w:tr w:rsidR="00C27707" w:rsidRPr="00A742C0" w:rsidTr="001067DB">
        <w:trPr>
          <w:trHeight w:val="660"/>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The Greek „</w:t>
            </w:r>
            <w:proofErr w:type="spellStart"/>
            <w:r w:rsidRPr="00A742C0">
              <w:rPr>
                <w:rFonts w:ascii="Cambria" w:hAnsi="Cambria"/>
                <w:sz w:val="26"/>
                <w:szCs w:val="26"/>
                <w:lang w:val="en-US"/>
              </w:rPr>
              <w:t>Megali</w:t>
            </w:r>
            <w:proofErr w:type="spellEnd"/>
            <w:r w:rsidRPr="00A742C0">
              <w:rPr>
                <w:rFonts w:ascii="Cambria" w:hAnsi="Cambria"/>
                <w:sz w:val="26"/>
                <w:szCs w:val="26"/>
                <w:lang w:val="en-US"/>
              </w:rPr>
              <w:t xml:space="preserve"> Idea” and the national struggles in the Balkans</w:t>
            </w:r>
          </w:p>
        </w:tc>
        <w:tc>
          <w:tcPr>
            <w:tcW w:w="2621" w:type="dxa"/>
          </w:tcPr>
          <w:p w:rsidR="00C27707" w:rsidRPr="00A742C0" w:rsidRDefault="00C27707" w:rsidP="00A742C0">
            <w:pPr>
              <w:spacing w:line="264" w:lineRule="auto"/>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Prof. </w:t>
            </w:r>
            <w:proofErr w:type="spellStart"/>
            <w:r w:rsidRPr="00A742C0">
              <w:rPr>
                <w:rFonts w:ascii="Cambria" w:eastAsia="Times New Roman" w:hAnsi="Cambria"/>
                <w:sz w:val="26"/>
                <w:szCs w:val="26"/>
                <w:lang w:val="en-US" w:eastAsia="bg-BG"/>
              </w:rPr>
              <w:t>Yura</w:t>
            </w:r>
            <w:proofErr w:type="spellEnd"/>
            <w:r w:rsidRPr="00A742C0">
              <w:rPr>
                <w:rFonts w:ascii="Cambria" w:eastAsia="Times New Roman" w:hAnsi="Cambria"/>
                <w:sz w:val="26"/>
                <w:szCs w:val="26"/>
                <w:lang w:val="en-US" w:eastAsia="bg-BG"/>
              </w:rPr>
              <w:t xml:space="preserve"> </w:t>
            </w:r>
            <w:proofErr w:type="spellStart"/>
            <w:r w:rsidRPr="00A742C0">
              <w:rPr>
                <w:rFonts w:ascii="Cambria" w:eastAsia="Times New Roman" w:hAnsi="Cambria"/>
                <w:sz w:val="26"/>
                <w:szCs w:val="26"/>
                <w:lang w:val="en-US" w:eastAsia="bg-BG"/>
              </w:rPr>
              <w:t>Konstantinova</w:t>
            </w:r>
            <w:proofErr w:type="spellEnd"/>
            <w:r w:rsidRPr="00A742C0">
              <w:rPr>
                <w:rFonts w:ascii="Cambria" w:eastAsia="Times New Roman" w:hAnsi="Cambria"/>
                <w:sz w:val="26"/>
                <w:szCs w:val="26"/>
                <w:lang w:val="en-US" w:eastAsia="bg-BG"/>
              </w:rPr>
              <w:t>, D.Sc.</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r w:rsidR="00C27707" w:rsidRPr="00A742C0" w:rsidTr="001067DB">
        <w:trPr>
          <w:trHeight w:val="735"/>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Literary readings of history: Greece in the 20th century.</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proofErr w:type="spellStart"/>
            <w:r w:rsidRPr="00A742C0">
              <w:rPr>
                <w:rFonts w:ascii="Cambria" w:eastAsia="Times New Roman" w:hAnsi="Cambria"/>
                <w:sz w:val="26"/>
                <w:szCs w:val="26"/>
                <w:lang w:val="en-US" w:eastAsia="bg-BG"/>
              </w:rPr>
              <w:t>Stamatia</w:t>
            </w:r>
            <w:proofErr w:type="spellEnd"/>
            <w:r w:rsidRPr="00A742C0">
              <w:rPr>
                <w:rFonts w:ascii="Cambria" w:eastAsia="Times New Roman" w:hAnsi="Cambria"/>
                <w:sz w:val="26"/>
                <w:szCs w:val="26"/>
                <w:lang w:val="en-US" w:eastAsia="bg-BG"/>
              </w:rPr>
              <w:t xml:space="preserve"> </w:t>
            </w:r>
            <w:proofErr w:type="spellStart"/>
            <w:r w:rsidRPr="00A742C0">
              <w:rPr>
                <w:rFonts w:ascii="Cambria" w:eastAsia="Times New Roman" w:hAnsi="Cambria"/>
                <w:sz w:val="26"/>
                <w:szCs w:val="26"/>
                <w:lang w:val="en-US" w:eastAsia="bg-BG"/>
              </w:rPr>
              <w:t>Fotiadou</w:t>
            </w:r>
            <w:proofErr w:type="spellEnd"/>
            <w:r w:rsidRPr="00A742C0">
              <w:rPr>
                <w:rFonts w:ascii="Cambria" w:eastAsia="Times New Roman" w:hAnsi="Cambria"/>
                <w:sz w:val="26"/>
                <w:szCs w:val="26"/>
                <w:lang w:val="en-US" w:eastAsia="bg-BG"/>
              </w:rPr>
              <w:t>, Ph.D.</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r w:rsidR="00C27707" w:rsidRPr="00A742C0" w:rsidTr="001067DB">
        <w:trPr>
          <w:trHeight w:val="564"/>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lastRenderedPageBreak/>
              <w:t>The Balkans - cultures and identities (ethnological aspects)</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Chief Assist. Prof </w:t>
            </w:r>
            <w:proofErr w:type="spellStart"/>
            <w:r w:rsidRPr="00A742C0">
              <w:rPr>
                <w:rFonts w:ascii="Cambria" w:eastAsia="Times New Roman" w:hAnsi="Cambria"/>
                <w:sz w:val="26"/>
                <w:szCs w:val="26"/>
                <w:lang w:val="en-US" w:eastAsia="bg-BG"/>
              </w:rPr>
              <w:t>Nadezhda</w:t>
            </w:r>
            <w:proofErr w:type="spellEnd"/>
            <w:r w:rsidRPr="00A742C0">
              <w:rPr>
                <w:rFonts w:ascii="Cambria" w:eastAsia="Times New Roman" w:hAnsi="Cambria"/>
                <w:sz w:val="26"/>
                <w:szCs w:val="26"/>
                <w:lang w:val="en-US" w:eastAsia="bg-BG"/>
              </w:rPr>
              <w:t xml:space="preserve"> </w:t>
            </w:r>
            <w:proofErr w:type="spellStart"/>
            <w:r w:rsidRPr="00A742C0">
              <w:rPr>
                <w:rFonts w:ascii="Cambria" w:eastAsia="Times New Roman" w:hAnsi="Cambria"/>
                <w:sz w:val="26"/>
                <w:szCs w:val="26"/>
                <w:lang w:val="en-US" w:eastAsia="bg-BG"/>
              </w:rPr>
              <w:t>Zhechkova</w:t>
            </w:r>
            <w:proofErr w:type="spellEnd"/>
            <w:r w:rsidRPr="00A742C0">
              <w:rPr>
                <w:rFonts w:ascii="Cambria" w:eastAsia="Times New Roman" w:hAnsi="Cambria"/>
                <w:sz w:val="26"/>
                <w:szCs w:val="26"/>
                <w:lang w:val="en-US" w:eastAsia="bg-BG"/>
              </w:rPr>
              <w:t>, Ph.D.</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r w:rsidR="00C27707" w:rsidRPr="00A742C0" w:rsidTr="001067DB">
        <w:trPr>
          <w:trHeight w:val="288"/>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An Introduction to Modern Greek Phraseology</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Assoc. Prof. Boris </w:t>
            </w:r>
            <w:proofErr w:type="spellStart"/>
            <w:r w:rsidRPr="00A742C0">
              <w:rPr>
                <w:rFonts w:ascii="Cambria" w:eastAsia="Times New Roman" w:hAnsi="Cambria"/>
                <w:sz w:val="26"/>
                <w:szCs w:val="26"/>
                <w:lang w:val="en-US" w:eastAsia="bg-BG"/>
              </w:rPr>
              <w:t>Vounchev</w:t>
            </w:r>
            <w:proofErr w:type="spellEnd"/>
            <w:r w:rsidRPr="00A742C0">
              <w:rPr>
                <w:rFonts w:ascii="Cambria" w:eastAsia="Times New Roman" w:hAnsi="Cambria"/>
                <w:sz w:val="26"/>
                <w:szCs w:val="26"/>
                <w:lang w:val="en-US" w:eastAsia="bg-BG"/>
              </w:rPr>
              <w:t>, D.Sc.</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2+2</w:t>
            </w:r>
          </w:p>
        </w:tc>
      </w:tr>
      <w:tr w:rsidR="00C27707" w:rsidRPr="00A742C0" w:rsidTr="001067DB">
        <w:trPr>
          <w:trHeight w:val="390"/>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The Greek language in the Balkan context</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Assoc. Prof. Ekaterina </w:t>
            </w:r>
            <w:proofErr w:type="spellStart"/>
            <w:r w:rsidRPr="00A742C0">
              <w:rPr>
                <w:rFonts w:ascii="Cambria" w:eastAsia="Times New Roman" w:hAnsi="Cambria"/>
                <w:sz w:val="26"/>
                <w:szCs w:val="26"/>
                <w:lang w:val="en-US" w:eastAsia="bg-BG"/>
              </w:rPr>
              <w:t>Tarpomanova</w:t>
            </w:r>
            <w:proofErr w:type="spellEnd"/>
            <w:r w:rsidRPr="00A742C0">
              <w:rPr>
                <w:rFonts w:ascii="Cambria" w:eastAsia="Times New Roman" w:hAnsi="Cambria"/>
                <w:sz w:val="26"/>
                <w:szCs w:val="26"/>
                <w:lang w:val="en-US" w:eastAsia="bg-BG"/>
              </w:rPr>
              <w:t>, Ph.D.</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r w:rsidR="00C27707" w:rsidRPr="00A742C0" w:rsidTr="001067DB">
        <w:trPr>
          <w:trHeight w:val="645"/>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Structural aspects of discourse in Modern Greek</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Chief Assist. Prof Irina </w:t>
            </w:r>
            <w:proofErr w:type="spellStart"/>
            <w:r w:rsidRPr="00A742C0">
              <w:rPr>
                <w:rFonts w:ascii="Cambria" w:eastAsia="Times New Roman" w:hAnsi="Cambria"/>
                <w:sz w:val="26"/>
                <w:szCs w:val="26"/>
                <w:lang w:val="en-US" w:eastAsia="bg-BG"/>
              </w:rPr>
              <w:t>Strikova</w:t>
            </w:r>
            <w:proofErr w:type="spellEnd"/>
            <w:r w:rsidRPr="00A742C0">
              <w:rPr>
                <w:rFonts w:ascii="Cambria" w:eastAsia="Times New Roman" w:hAnsi="Cambria"/>
                <w:sz w:val="26"/>
                <w:szCs w:val="26"/>
                <w:lang w:val="en-US" w:eastAsia="bg-BG"/>
              </w:rPr>
              <w:t>, Ph.D.</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2+2</w:t>
            </w:r>
          </w:p>
        </w:tc>
      </w:tr>
      <w:tr w:rsidR="00C27707" w:rsidRPr="00A742C0" w:rsidTr="001067DB">
        <w:trPr>
          <w:trHeight w:val="288"/>
        </w:trPr>
        <w:tc>
          <w:tcPr>
            <w:tcW w:w="3802" w:type="dxa"/>
            <w:hideMark/>
          </w:tcPr>
          <w:p w:rsidR="00C27707" w:rsidRPr="00A742C0" w:rsidRDefault="00C27707" w:rsidP="008118AF">
            <w:pPr>
              <w:jc w:val="both"/>
              <w:rPr>
                <w:rFonts w:ascii="Cambria" w:hAnsi="Cambria"/>
                <w:sz w:val="26"/>
                <w:szCs w:val="26"/>
                <w:lang w:val="en-US"/>
              </w:rPr>
            </w:pPr>
            <w:r w:rsidRPr="00A742C0">
              <w:rPr>
                <w:rFonts w:ascii="Cambria" w:hAnsi="Cambria"/>
                <w:sz w:val="26"/>
                <w:szCs w:val="26"/>
                <w:lang w:val="en-US"/>
              </w:rPr>
              <w:t>Bulgarian-Greek relations</w:t>
            </w:r>
          </w:p>
        </w:tc>
        <w:tc>
          <w:tcPr>
            <w:tcW w:w="2621" w:type="dxa"/>
          </w:tcPr>
          <w:p w:rsidR="00C27707" w:rsidRPr="00A742C0" w:rsidRDefault="00C27707" w:rsidP="008118AF">
            <w:pPr>
              <w:spacing w:line="264" w:lineRule="auto"/>
              <w:jc w:val="both"/>
              <w:rPr>
                <w:rFonts w:ascii="Cambria" w:eastAsia="Times New Roman" w:hAnsi="Cambria"/>
                <w:sz w:val="26"/>
                <w:szCs w:val="26"/>
                <w:lang w:val="en-US" w:eastAsia="bg-BG"/>
              </w:rPr>
            </w:pPr>
            <w:r w:rsidRPr="00A742C0">
              <w:rPr>
                <w:rFonts w:ascii="Cambria" w:eastAsia="Times New Roman" w:hAnsi="Cambria"/>
                <w:sz w:val="26"/>
                <w:szCs w:val="26"/>
                <w:lang w:val="en-US" w:eastAsia="bg-BG"/>
              </w:rPr>
              <w:t xml:space="preserve">Prof. </w:t>
            </w:r>
            <w:proofErr w:type="spellStart"/>
            <w:r w:rsidRPr="00A742C0">
              <w:rPr>
                <w:rFonts w:ascii="Cambria" w:eastAsia="Times New Roman" w:hAnsi="Cambria"/>
                <w:sz w:val="26"/>
                <w:szCs w:val="26"/>
                <w:lang w:val="en-US" w:eastAsia="bg-BG"/>
              </w:rPr>
              <w:t>Yura</w:t>
            </w:r>
            <w:proofErr w:type="spellEnd"/>
            <w:r w:rsidRPr="00A742C0">
              <w:rPr>
                <w:rFonts w:ascii="Cambria" w:eastAsia="Times New Roman" w:hAnsi="Cambria"/>
                <w:sz w:val="26"/>
                <w:szCs w:val="26"/>
                <w:lang w:val="en-US" w:eastAsia="bg-BG"/>
              </w:rPr>
              <w:t xml:space="preserve"> </w:t>
            </w:r>
            <w:proofErr w:type="spellStart"/>
            <w:r w:rsidRPr="00A742C0">
              <w:rPr>
                <w:rFonts w:ascii="Cambria" w:eastAsia="Times New Roman" w:hAnsi="Cambria"/>
                <w:sz w:val="26"/>
                <w:szCs w:val="26"/>
                <w:lang w:val="en-US" w:eastAsia="bg-BG"/>
              </w:rPr>
              <w:t>Konstantinova</w:t>
            </w:r>
            <w:proofErr w:type="spellEnd"/>
            <w:r w:rsidRPr="00A742C0">
              <w:rPr>
                <w:rFonts w:ascii="Cambria" w:eastAsia="Times New Roman" w:hAnsi="Cambria"/>
                <w:sz w:val="26"/>
                <w:szCs w:val="26"/>
                <w:lang w:val="en-US" w:eastAsia="bg-BG"/>
              </w:rPr>
              <w:t>, D.Sc.</w:t>
            </w:r>
          </w:p>
        </w:tc>
        <w:tc>
          <w:tcPr>
            <w:tcW w:w="2786" w:type="dxa"/>
          </w:tcPr>
          <w:p w:rsidR="00C27707" w:rsidRPr="00A742C0" w:rsidRDefault="00C27707" w:rsidP="00A742C0">
            <w:pPr>
              <w:spacing w:line="264" w:lineRule="auto"/>
              <w:jc w:val="center"/>
              <w:rPr>
                <w:rFonts w:ascii="Cambria" w:eastAsia="Times New Roman" w:hAnsi="Cambria"/>
                <w:sz w:val="26"/>
                <w:szCs w:val="26"/>
                <w:lang w:val="en-US" w:eastAsia="bg-BG"/>
              </w:rPr>
            </w:pPr>
            <w:r w:rsidRPr="00A742C0">
              <w:rPr>
                <w:rFonts w:ascii="Cambria" w:eastAsia="Times New Roman" w:hAnsi="Cambria"/>
                <w:sz w:val="26"/>
                <w:szCs w:val="26"/>
                <w:lang w:val="en-US" w:eastAsia="bg-BG"/>
              </w:rPr>
              <w:t>2+0</w:t>
            </w:r>
          </w:p>
        </w:tc>
      </w:tr>
    </w:tbl>
    <w:p w:rsidR="008118AF" w:rsidRPr="008118AF" w:rsidRDefault="008118AF" w:rsidP="008118AF">
      <w:pPr>
        <w:jc w:val="both"/>
        <w:rPr>
          <w:sz w:val="26"/>
          <w:szCs w:val="26"/>
        </w:rPr>
      </w:pPr>
    </w:p>
    <w:p w:rsidR="008118AF" w:rsidRPr="008118AF" w:rsidRDefault="008118AF" w:rsidP="008118AF">
      <w:pPr>
        <w:jc w:val="both"/>
        <w:rPr>
          <w:b/>
          <w:sz w:val="26"/>
          <w:szCs w:val="26"/>
        </w:rPr>
      </w:pPr>
      <w:r w:rsidRPr="008118AF">
        <w:rPr>
          <w:b/>
          <w:sz w:val="26"/>
          <w:szCs w:val="26"/>
        </w:rPr>
        <w:t xml:space="preserve">Elective courses: </w:t>
      </w:r>
    </w:p>
    <w:p w:rsidR="008118AF" w:rsidRPr="008118AF" w:rsidRDefault="008118AF" w:rsidP="008118AF">
      <w:pPr>
        <w:jc w:val="both"/>
        <w:rPr>
          <w:sz w:val="26"/>
          <w:szCs w:val="26"/>
        </w:rPr>
      </w:pPr>
      <w:r w:rsidRPr="008118AF">
        <w:rPr>
          <w:sz w:val="26"/>
          <w:szCs w:val="26"/>
        </w:rPr>
        <w:t>Elective courses must carry a minimum of 9 credits: 1st semester - 7 credits, 2nd semester - 2 credits.</w:t>
      </w:r>
    </w:p>
    <w:p w:rsidR="006D7C7B" w:rsidRDefault="006D7C7B" w:rsidP="008118AF">
      <w:pPr>
        <w:jc w:val="both"/>
        <w:rPr>
          <w:sz w:val="26"/>
          <w:szCs w:val="26"/>
        </w:rPr>
      </w:pPr>
    </w:p>
    <w:p w:rsidR="008118AF" w:rsidRPr="006D7C7B" w:rsidRDefault="008118AF" w:rsidP="008118AF">
      <w:pPr>
        <w:jc w:val="both"/>
        <w:rPr>
          <w:b/>
          <w:sz w:val="26"/>
          <w:szCs w:val="26"/>
        </w:rPr>
      </w:pPr>
      <w:r w:rsidRPr="006D7C7B">
        <w:rPr>
          <w:b/>
          <w:sz w:val="26"/>
          <w:szCs w:val="26"/>
        </w:rPr>
        <w:t xml:space="preserve">Head of the Master’s Degree Program:  </w:t>
      </w:r>
    </w:p>
    <w:p w:rsidR="008118AF" w:rsidRPr="008118AF" w:rsidRDefault="008118AF" w:rsidP="008118AF">
      <w:pPr>
        <w:jc w:val="both"/>
        <w:rPr>
          <w:rFonts w:eastAsia="Times New Roman"/>
          <w:sz w:val="26"/>
          <w:szCs w:val="26"/>
          <w:lang w:eastAsia="bg-BG"/>
        </w:rPr>
      </w:pPr>
      <w:r w:rsidRPr="008118AF">
        <w:rPr>
          <w:rFonts w:eastAsia="Times New Roman"/>
          <w:sz w:val="26"/>
          <w:szCs w:val="26"/>
          <w:lang w:eastAsia="bg-BG"/>
        </w:rPr>
        <w:t xml:space="preserve">Assoc. Prof. Boris </w:t>
      </w:r>
      <w:proofErr w:type="spellStart"/>
      <w:r w:rsidRPr="008118AF">
        <w:rPr>
          <w:rFonts w:eastAsia="Times New Roman"/>
          <w:sz w:val="26"/>
          <w:szCs w:val="26"/>
          <w:lang w:eastAsia="bg-BG"/>
        </w:rPr>
        <w:t>Vounchev</w:t>
      </w:r>
      <w:proofErr w:type="spellEnd"/>
      <w:r w:rsidRPr="008118AF">
        <w:rPr>
          <w:rFonts w:eastAsia="Times New Roman"/>
          <w:sz w:val="26"/>
          <w:szCs w:val="26"/>
          <w:lang w:eastAsia="bg-BG"/>
        </w:rPr>
        <w:t>, D.Sc.</w:t>
      </w:r>
    </w:p>
    <w:p w:rsidR="008118AF" w:rsidRDefault="006D7C7B" w:rsidP="008118AF">
      <w:pPr>
        <w:spacing w:after="0" w:line="264" w:lineRule="auto"/>
        <w:jc w:val="both"/>
        <w:rPr>
          <w:rStyle w:val="Hyperlink"/>
          <w:rFonts w:eastAsia="Times New Roman"/>
          <w:sz w:val="26"/>
          <w:szCs w:val="26"/>
          <w:lang w:eastAsia="bg-BG"/>
        </w:rPr>
      </w:pPr>
      <w:hyperlink r:id="rId5" w:history="1">
        <w:r w:rsidR="008118AF" w:rsidRPr="008118AF">
          <w:rPr>
            <w:rStyle w:val="Hyperlink"/>
            <w:rFonts w:eastAsia="Times New Roman"/>
            <w:sz w:val="26"/>
            <w:szCs w:val="26"/>
            <w:lang w:eastAsia="bg-BG"/>
          </w:rPr>
          <w:t>bvunchev@uni-sofia.bg</w:t>
        </w:r>
      </w:hyperlink>
    </w:p>
    <w:p w:rsidR="006D7C7B" w:rsidRPr="00060870" w:rsidRDefault="006D7C7B" w:rsidP="006D7C7B">
      <w:pPr>
        <w:jc w:val="both"/>
        <w:rPr>
          <w:sz w:val="26"/>
          <w:szCs w:val="26"/>
        </w:rPr>
      </w:pPr>
      <w:r w:rsidRPr="00060870">
        <w:rPr>
          <w:sz w:val="26"/>
          <w:szCs w:val="26"/>
        </w:rPr>
        <w:t>Phone: 00 35929308525</w:t>
      </w:r>
    </w:p>
    <w:p w:rsidR="006D7C7B" w:rsidRPr="008118AF" w:rsidRDefault="006D7C7B" w:rsidP="008118AF">
      <w:pPr>
        <w:spacing w:after="0" w:line="264" w:lineRule="auto"/>
        <w:jc w:val="both"/>
        <w:rPr>
          <w:rFonts w:eastAsia="Times New Roman"/>
          <w:sz w:val="26"/>
          <w:szCs w:val="26"/>
          <w:lang w:eastAsia="bg-BG"/>
        </w:rPr>
      </w:pPr>
    </w:p>
    <w:p w:rsidR="008118AF" w:rsidRPr="008118AF" w:rsidRDefault="008118AF" w:rsidP="008118AF">
      <w:pPr>
        <w:jc w:val="both"/>
        <w:rPr>
          <w:b/>
          <w:sz w:val="26"/>
          <w:szCs w:val="26"/>
        </w:rPr>
      </w:pPr>
    </w:p>
    <w:sectPr w:rsidR="008118AF" w:rsidRPr="00811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64C00"/>
    <w:multiLevelType w:val="hybridMultilevel"/>
    <w:tmpl w:val="11E02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B0F38"/>
    <w:multiLevelType w:val="hybridMultilevel"/>
    <w:tmpl w:val="DCC05C90"/>
    <w:lvl w:ilvl="0" w:tplc="25B02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16"/>
    <w:rsid w:val="00040367"/>
    <w:rsid w:val="00347192"/>
    <w:rsid w:val="0043677B"/>
    <w:rsid w:val="004726AF"/>
    <w:rsid w:val="005040E3"/>
    <w:rsid w:val="006D7C7B"/>
    <w:rsid w:val="007F1616"/>
    <w:rsid w:val="008118AF"/>
    <w:rsid w:val="008D0CBD"/>
    <w:rsid w:val="009E613B"/>
    <w:rsid w:val="00A742C0"/>
    <w:rsid w:val="00AC12F6"/>
    <w:rsid w:val="00B16D48"/>
    <w:rsid w:val="00C2026F"/>
    <w:rsid w:val="00C27707"/>
    <w:rsid w:val="00CF7AB0"/>
    <w:rsid w:val="00E154B3"/>
    <w:rsid w:val="00E36A4F"/>
    <w:rsid w:val="00EF0AC5"/>
    <w:rsid w:val="00F6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E796-DFCE-4911-BB55-3052F6A6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40E3"/>
    <w:pPr>
      <w:spacing w:after="0" w:line="240" w:lineRule="auto"/>
      <w:jc w:val="both"/>
    </w:pPr>
    <w:rPr>
      <w:sz w:val="22"/>
      <w:szCs w:val="20"/>
    </w:rPr>
  </w:style>
  <w:style w:type="character" w:customStyle="1" w:styleId="FootnoteTextChar">
    <w:name w:val="Footnote Text Char"/>
    <w:basedOn w:val="DefaultParagraphFont"/>
    <w:link w:val="FootnoteText"/>
    <w:uiPriority w:val="99"/>
    <w:rsid w:val="005040E3"/>
    <w:rPr>
      <w:rFonts w:ascii="Cambria" w:hAnsi="Cambria"/>
      <w:sz w:val="22"/>
      <w:szCs w:val="20"/>
    </w:rPr>
  </w:style>
  <w:style w:type="paragraph" w:styleId="ListParagraph">
    <w:name w:val="List Paragraph"/>
    <w:basedOn w:val="Normal"/>
    <w:uiPriority w:val="34"/>
    <w:qFormat/>
    <w:rsid w:val="00EF0AC5"/>
    <w:pPr>
      <w:ind w:left="720"/>
      <w:contextualSpacing/>
    </w:pPr>
  </w:style>
  <w:style w:type="table" w:styleId="TableGrid">
    <w:name w:val="Table Grid"/>
    <w:basedOn w:val="TableNormal"/>
    <w:uiPriority w:val="39"/>
    <w:rsid w:val="00B16D48"/>
    <w:pPr>
      <w:spacing w:after="0" w:line="240" w:lineRule="auto"/>
    </w:pPr>
    <w:rPr>
      <w:rFonts w:ascii="Times New Roman" w:hAnsi="Times New Roman" w:cs="Times New Roman"/>
      <w:szCs w:val="20"/>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vunchev@uni-sofia.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2025-04-21T18:19:00Z</dcterms:created>
  <dcterms:modified xsi:type="dcterms:W3CDTF">2025-04-22T18:46:00Z</dcterms:modified>
</cp:coreProperties>
</file>